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5B" w:rsidRPr="006874AC" w:rsidRDefault="00A60D5B" w:rsidP="00A60D5B">
      <w:pPr>
        <w:tabs>
          <w:tab w:val="left" w:pos="1418"/>
        </w:tabs>
        <w:jc w:val="center"/>
        <w:rPr>
          <w:rFonts w:ascii="Bookman Old Style" w:hAnsi="Bookman Old Style" w:cs="Calibri Light"/>
          <w:b/>
          <w:color w:val="000000"/>
        </w:rPr>
      </w:pPr>
      <w:r w:rsidRPr="006874AC">
        <w:rPr>
          <w:rFonts w:ascii="Bookman Old Style" w:hAnsi="Bookman Old Style" w:cs="Calibri Light"/>
          <w:b/>
          <w:color w:val="000000"/>
        </w:rPr>
        <w:t>RESOLUÇÃO</w:t>
      </w:r>
      <w:r w:rsidR="00AA2F4B" w:rsidRPr="006874AC">
        <w:rPr>
          <w:rFonts w:ascii="Bookman Old Style" w:hAnsi="Bookman Old Style" w:cs="Calibri Light"/>
          <w:b/>
          <w:color w:val="000000"/>
        </w:rPr>
        <w:t xml:space="preserve"> DE MESA</w:t>
      </w:r>
      <w:r w:rsidRPr="006874AC">
        <w:rPr>
          <w:rFonts w:ascii="Bookman Old Style" w:hAnsi="Bookman Old Style" w:cs="Calibri Light"/>
          <w:b/>
          <w:color w:val="000000"/>
        </w:rPr>
        <w:t xml:space="preserve"> Nº </w:t>
      </w:r>
      <w:r w:rsidR="00AA2F4B" w:rsidRPr="006874AC">
        <w:rPr>
          <w:rFonts w:ascii="Bookman Old Style" w:hAnsi="Bookman Old Style" w:cs="Calibri Light"/>
          <w:b/>
          <w:color w:val="000000"/>
        </w:rPr>
        <w:t>001</w:t>
      </w:r>
      <w:r w:rsidRPr="006874AC">
        <w:rPr>
          <w:rFonts w:ascii="Bookman Old Style" w:hAnsi="Bookman Old Style" w:cs="Calibri Light"/>
          <w:b/>
          <w:color w:val="000000"/>
        </w:rPr>
        <w:t xml:space="preserve"> DE </w:t>
      </w:r>
      <w:r w:rsidR="00745C2F">
        <w:rPr>
          <w:rFonts w:ascii="Bookman Old Style" w:hAnsi="Bookman Old Style" w:cs="Calibri Light"/>
          <w:b/>
          <w:color w:val="000000"/>
        </w:rPr>
        <w:t>1</w:t>
      </w:r>
      <w:r w:rsidR="00B87584">
        <w:rPr>
          <w:rFonts w:ascii="Bookman Old Style" w:hAnsi="Bookman Old Style" w:cs="Calibri Light"/>
          <w:b/>
          <w:color w:val="000000"/>
        </w:rPr>
        <w:t>4</w:t>
      </w:r>
      <w:r w:rsidRPr="006874AC">
        <w:rPr>
          <w:rFonts w:ascii="Bookman Old Style" w:hAnsi="Bookman Old Style" w:cs="Calibri Light"/>
          <w:b/>
          <w:color w:val="000000"/>
        </w:rPr>
        <w:t xml:space="preserve"> DE </w:t>
      </w:r>
      <w:r w:rsidR="00B87584">
        <w:rPr>
          <w:rFonts w:ascii="Bookman Old Style" w:hAnsi="Bookman Old Style" w:cs="Calibri Light"/>
          <w:b/>
          <w:color w:val="000000"/>
        </w:rPr>
        <w:t>JUNHO</w:t>
      </w:r>
      <w:r w:rsidRPr="006874AC">
        <w:rPr>
          <w:rFonts w:ascii="Bookman Old Style" w:hAnsi="Bookman Old Style" w:cs="Calibri Light"/>
          <w:b/>
          <w:color w:val="000000"/>
        </w:rPr>
        <w:t xml:space="preserve"> DE 2</w:t>
      </w:r>
      <w:r w:rsidR="00AA2F4B" w:rsidRPr="006874AC">
        <w:rPr>
          <w:rFonts w:ascii="Bookman Old Style" w:hAnsi="Bookman Old Style" w:cs="Calibri Light"/>
          <w:b/>
          <w:color w:val="000000"/>
        </w:rPr>
        <w:t>019</w:t>
      </w:r>
      <w:r w:rsidRPr="006874AC">
        <w:rPr>
          <w:rFonts w:ascii="Bookman Old Style" w:hAnsi="Bookman Old Style" w:cs="Calibri Light"/>
          <w:b/>
          <w:color w:val="000000"/>
        </w:rPr>
        <w:t>.</w:t>
      </w:r>
    </w:p>
    <w:p w:rsidR="00A60D5B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6874AC" w:rsidRPr="006874AC" w:rsidRDefault="006874AC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ind w:left="4536"/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Dispõe sobre a criação, a estrutura e o funcionamento da Ouvidoria Parlamentar da Câmara Municipal de </w:t>
      </w:r>
      <w:r w:rsidR="00AA2F4B" w:rsidRPr="006874AC">
        <w:rPr>
          <w:rFonts w:ascii="Bookman Old Style" w:hAnsi="Bookman Old Style" w:cs="Calibri Light"/>
          <w:color w:val="000000"/>
        </w:rPr>
        <w:t>Vereadores de Boqueirão do Leão, RS</w:t>
      </w:r>
      <w:r w:rsidRPr="006874AC">
        <w:rPr>
          <w:rFonts w:ascii="Bookman Old Style" w:hAnsi="Bookman Old Style" w:cs="Calibri Light"/>
          <w:color w:val="000000"/>
        </w:rPr>
        <w:t>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A  </w:t>
      </w:r>
      <w:r w:rsidR="00A40A08">
        <w:rPr>
          <w:rFonts w:ascii="Bookman Old Style" w:hAnsi="Bookman Old Style" w:cs="Calibri Light"/>
          <w:color w:val="000000"/>
        </w:rPr>
        <w:t>Mesa Diretora da Câmara Municipal de Vereadores de Boqueirão do Leão, no uso das atribuições legais que lhes são conferidas pela Lei Orgânica Municipal e pelo Regimento interno, resolve o que segue:</w:t>
      </w: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>CONSIDERANDO, que a publicidade é um princípio constitucional e a divulgação é uma meta institucional em atendimento, dentre outras normas pertinentes, à Lei Federal nº 12.527, de 18 de novembro de 2011 (Lei de Acesso à Informação) e à Lei Federal nº 13.460, de 26 de junho de 2017;</w:t>
      </w: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>CONSIDERANDO, o dever republicano de a Câmara Municipal, na condição de Poder Legislativo local, agir com transparência, eficiência e com disponibilidade institucional para dialogar com a comunidade;</w:t>
      </w: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CONSIDERANDO, a obrigação constitucional de aprimorar suas ações e seus serviços e de qualificar seu relacionamento com os cidadãos e com a comunidade, bem como o que determina </w:t>
      </w:r>
      <w:r w:rsidR="00A40A08">
        <w:rPr>
          <w:rFonts w:ascii="Bookman Old Style" w:hAnsi="Bookman Old Style" w:cs="Calibri Light"/>
          <w:color w:val="000000"/>
        </w:rPr>
        <w:t>o</w:t>
      </w:r>
      <w:r w:rsidRPr="006874AC">
        <w:rPr>
          <w:rFonts w:ascii="Bookman Old Style" w:hAnsi="Bookman Old Style" w:cs="Calibri Light"/>
          <w:color w:val="000000"/>
        </w:rPr>
        <w:t xml:space="preserve"> Regimento Interno, que impõem o dever de a Câmara Municipal de </w:t>
      </w:r>
      <w:r w:rsidR="00D04968" w:rsidRPr="006874AC">
        <w:rPr>
          <w:rFonts w:ascii="Bookman Old Style" w:hAnsi="Bookman Old Style" w:cs="Calibri Light"/>
          <w:color w:val="000000"/>
        </w:rPr>
        <w:t>Boqueirão do Leão, RS</w:t>
      </w:r>
      <w:r w:rsidRPr="006874AC">
        <w:rPr>
          <w:rFonts w:ascii="Bookman Old Style" w:hAnsi="Bookman Old Style" w:cs="Calibri Light"/>
          <w:color w:val="000000"/>
        </w:rPr>
        <w:t xml:space="preserve"> “organizar, por regulamento ou ordem de serviço, os seus serviços administrativos” e “adotar medidas para promover e valorizar o Poder Legislativo e resguardar o seu conceito perante a sociedade”; </w:t>
      </w:r>
    </w:p>
    <w:p w:rsidR="00A60D5B" w:rsidRPr="006874AC" w:rsidRDefault="00A60D5B" w:rsidP="00A60D5B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</w:p>
    <w:p w:rsidR="00B87584" w:rsidRDefault="00A60D5B" w:rsidP="00B87584">
      <w:pPr>
        <w:tabs>
          <w:tab w:val="left" w:pos="1418"/>
        </w:tabs>
        <w:ind w:firstLine="1418"/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CONSIDERANDO, a responsabilidade de bem representar a sociedade de </w:t>
      </w:r>
      <w:r w:rsidR="00AA2F4B" w:rsidRPr="006874AC">
        <w:rPr>
          <w:rFonts w:ascii="Bookman Old Style" w:hAnsi="Bookman Old Style" w:cs="Calibri Light"/>
          <w:color w:val="000000"/>
        </w:rPr>
        <w:t>Boqueirão do Leão</w:t>
      </w:r>
      <w:r w:rsidRPr="006874AC">
        <w:rPr>
          <w:rFonts w:ascii="Bookman Old Style" w:hAnsi="Bookman Old Style" w:cs="Calibri Light"/>
          <w:color w:val="000000"/>
        </w:rPr>
        <w:t xml:space="preserve"> no processo público e democrático de deliberação política, </w:t>
      </w:r>
    </w:p>
    <w:p w:rsidR="00B87584" w:rsidRDefault="00B87584" w:rsidP="00B87584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B87584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>RESOLVE: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Art.1º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Ouvidoria Parlamentar da Câmara Municipal de </w:t>
      </w:r>
      <w:r w:rsidR="00AA2F4B" w:rsidRPr="006874AC">
        <w:rPr>
          <w:rFonts w:ascii="Bookman Old Style" w:hAnsi="Bookman Old Style" w:cs="Calibri Light"/>
          <w:color w:val="000000"/>
        </w:rPr>
        <w:t>Boqueirão do Leão</w:t>
      </w:r>
      <w:r w:rsidRPr="006874AC">
        <w:rPr>
          <w:rFonts w:ascii="Bookman Old Style" w:hAnsi="Bookman Old Style" w:cs="Calibri Light"/>
          <w:color w:val="000000"/>
        </w:rPr>
        <w:t xml:space="preserve"> é criada e organizada nos termos desta Resolução, tendo seu funcionamento vinculado a sua Presidência.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1226B8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2º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Ouvidoria Parlamentar é um órgão de interlocução entre o Poder Legislativo Municipal, o cidadão e a sociedade, constituindo-se em um canal aberto para o recebimento de reclamações, denúncias, sugestões, elogios e quaisquer outras manifestações, desde que relacionados ao funcionamento da Câmara Municipal de </w:t>
      </w:r>
      <w:r w:rsidR="00A40A08">
        <w:rPr>
          <w:rFonts w:ascii="Bookman Old Style" w:hAnsi="Bookman Old Style" w:cs="Calibri Light"/>
          <w:color w:val="000000"/>
        </w:rPr>
        <w:t>Vereadores de Boqueirão do Leão, RS</w:t>
      </w:r>
      <w:r w:rsidRPr="006874AC">
        <w:rPr>
          <w:rFonts w:ascii="Bookman Old Style" w:hAnsi="Bookman Old Style" w:cs="Calibri Light"/>
          <w:color w:val="000000"/>
        </w:rPr>
        <w:t xml:space="preserve">. </w:t>
      </w:r>
    </w:p>
    <w:p w:rsidR="00B87584" w:rsidRDefault="00B87584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lastRenderedPageBreak/>
        <w:tab/>
        <w:t>Art. 3º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São atribuições da Ouvidoria Parlamentar: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 - promover a participação do cidadão, junto à Câmara Municipal, em cooperação com outros órgãos da administração voltados a defesa do usuário; 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 xml:space="preserve">II - receber, analisar e encaminhar às autoridades competentes as manifestações, acompanhando o tratamento e a efetiva conclusão das manifestações, perante a Câmara Municipal; e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 xml:space="preserve">III - promover a adoção de mediação e conciliação entre o cidadão e a Câmara Municipal, sem prejuízo de análise da matéria por outros órgãos competentes.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4º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Compete à Ouvidoria Parlamentar, no exercício de suas atribuições institucionais: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 – receber e analisar as manifestações de cidadão que lhe for dirigida, em especial aquelas sobre: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a) sugestões, críticas, reclamações, elogios, solicitação de informação ou denúncia atinentes às atividades legislativa e administrativa da Câmara Municipal;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b) violação ou qualquer forma de discriminação atentatória dos direitos e liberdades fundamentais;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c) ilegalidades, atos de improbidade administrativa e abuso de poder;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 - disponibilizar as informações de interesse público;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III - divulgar seus serviços no cumprimento de seu papel institucional junto à sociedade;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IV - identificar problemas no atendimento ao usuário;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V - processar os pedidos de acesso à informação de que trata a Lei Federal nº 12.527, de 18 de novembro de 2011;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VI - registrar, classificar e controlar a tramitação interna das demandas recebidas por tema, assunto, datas de recebimento e resposta, bem como outras catalogações consideradas necessárias;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VII - atuar na prevenção e solução de conflitos envolvendo usuários dos serviços;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VIII - promover o intercâmbio de informações e manifestações com outras Ouvidorias;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IX - exercer suas atividades em estrita observância às competências regimentais em vigor;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 - dar prosseguimento às manifestações recebidas;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XI - informar o cidadão ou entidade sobre a qual órgão deverá se dirigir, quando a manifestação não for de competência da Ouvidoria Legislativa;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XII - facilitar o amplo acesso do usuário aos serviços da Ouvidoria, simplificando seus procedimentos e orientando os cidadãos sobre os meios de formalização das manifestações a serem encaminhadas à Ouvidoria;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XIII - auxiliar a Presidência na tomada de medidas para sanar as violações, as ilegalidades e os abusos constatados;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XIV - auxiliar a Presidência na tomada de medidas necessárias à regularidade dos trabalhos legislativos e administrativos;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XV - acompanhar as manifestações encaminhadas por organismos da sociedade civil à Câmara Municipal;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XVI - conhecer as opiniões e necessidades da sociedade para sugerir à Câmara Municipal as mudanças por ela aspiradas.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1º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ouvidoria encaminhará a decisão administrativa final ao usuário, observado o prazo de trinta dias, prorrogável de forma justificada, uma única vez, por igual período.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2º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Após a resposta conclusiva, será encaminhado ao usuário, pesquisa de satisfação do serviço, conforme o anexo I da presente resolução.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3º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Toda iniciativa proposta pela Ouvidoria terá ampla divulgação pelos órgãos de comunicação da Câmara Municipal.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4º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É responsabilidade da Ouvidoria Parlamentar: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 - elaborar o conteúdo da Carta de Serviços ao Usuário, nos termos previstos no art. 7º da Lei Federal nº 13.460, de 26 de junho de 2017, com as respectivas atualizações;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 – realizar a avaliação continuada dos serviços públicos da Câmara Municipal, com divulgação dos respectivos relatórios, e encaminhamento para a Presidência da Câmara Municipal, observado o que dispõem os arts. 23 e 24 da Lei Federal nº 13.460, de 2017.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5º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Ouvidoria Parlamentar será composta por servidor designado para o cumprimento das atividades administrativas pertinentes, sob a coordenação de um Ouvidor-Geral, que será designado pelo Presidente da Câmara Municipal, dentre os vereadores da Casa, com o mandato de um ano, admitindo-se uma recondução.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1º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O Presidente da Câmara poderá designar um vereador como Ouvidor–Substituto, que assumirá as funções do Ouvidor–Geral em seus impedimentos e ausências.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2º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O servidor designado na forma do caput deste artigo ficará responsável pelo gerenciamento técnico do Sistema de Informações ao Cidadão e atenderá às demais atribuições indicadas pelo Ouvidor-Geral, relacionadas ao funcionamento administrativo e operacional da Ouvidoria Parlamentar.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3º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Não poderá ser escolhido para exercer as atividades junto à Ouvidoria o servidor que tenha sido, nos últimos cinco anos: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 - responsabilizado por atos julgados irregulares, pelo Tribunal de Contas do Estado ou pelo Poder Judiciário;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 - punido por ato lesivo ao patrimônio público, em processo disciplinar, por decisão da qual não caiba recurso na es</w:t>
      </w:r>
      <w:r w:rsidR="00ED2349">
        <w:rPr>
          <w:rFonts w:ascii="Bookman Old Style" w:hAnsi="Bookman Old Style" w:cs="Calibri Light"/>
          <w:color w:val="000000"/>
        </w:rPr>
        <w:t>f</w:t>
      </w:r>
      <w:r w:rsidRPr="006874AC">
        <w:rPr>
          <w:rFonts w:ascii="Bookman Old Style" w:hAnsi="Bookman Old Style" w:cs="Calibri Light"/>
          <w:color w:val="000000"/>
        </w:rPr>
        <w:t xml:space="preserve">era administrativa, em qualquer esfera de governo;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III - condenado em processo criminal: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a) por crime contra o Patrimônio;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b) por crime contra a Administração Pública;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c) por crime contra o Sistema Financeiro Nacional;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d) por prática de ato de improbidade administrativa.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4º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O servidor integrante da Ouvidoria que vier a ter, contra si, a aplicabilidade de qualquer das penalidades previstas no § 3º ficará automaticamente destituído da função.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6º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O Ouvidor-Geral, no exercício de suas funções, poderá: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 – requisitar informações ou cópias de documentos a qualquer órgão ou servidor da Câmara Municipal;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II – solicitar a qualquer órgão informações e cópias de documentos necessários ao desenvolvimento de suas atribuições regimentais, através da Presidência da Câmara Municipal.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§1º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Os órgãos internos da Câmara Municipal terão prazo de até vinte dias para responder às requisições e solicitações feitas pelo Ouvidor-Geral, prazo este que poderá ser prorrogado, a seu critério, em razão da complexidade do assunto.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§2º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O não cumprimento do prazo previsto no § 1º deverá ser comunicado ao Presidente da Câmara Municipal.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7º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São atribuições exclusivas do Ouvidor-Geral: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 - exercer suas funções com independência e autonomia, visando garantir o direito de manifestação dos cidadãos;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II - recomendar a correção de procedimentos administrativos;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III - sugerir, quando cabível, a adoção de providências ou apuração de atos considerados irregulares ou ilegais;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IV - determinar, de forma fundamentada, o encerramento de manifestações;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V - manter sigilo, quando solicitado, sobre os dados dos usuários dos serviços da Ouvidoria;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VI - promover estudos e pesquisas objetivando o aprimoramento da prestação de serviços da Ouvidoria;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VII - solicitar à Presidência da Câmara o encaminhamento de procedimentos às autoridades competentes;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VIII - solicitar informações quanto ao andamento de procedimentos iniciados por ação da Ouvidoria;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IX - elaborar relatório trimestral e anual das atividades da Ouvidoria para encaminhamento à Mesa Diretora, disponibilizando-os para conhecimento dos cidadãos;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X - incentivar e propiciar aos servidores da Ouvidoria oportunidades de capacitação e aperfeiçoamento de suas atividades;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XI - propor ao Presidente da Câmara Municipal a celebração de convênios ou parcerias com entidades afins e de interesse da Ouvidoria;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XII - propor ao Presidente da Câmara Municipal a elaboração de palestras, seminários e eventos técnicos com temas relacionados às atividades da Ouvidoria.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Parágrafo único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Todos os dados colhidos deverão ser mantidos em sigilo, pelo Ouvidor, inclusive após do exercício da sua função.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Art. 8º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Câmara Municipal garantirá o acesso do cidadão à Ouvidoria por meio dos seguintes canais de comunicação: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 - acesso exclusivo à Ouvidoria por meio da página eletrônica da Câmara Municipal. na </w:t>
      </w:r>
      <w:r w:rsidRPr="006874AC">
        <w:rPr>
          <w:rFonts w:ascii="Bookman Old Style" w:hAnsi="Bookman Old Style" w:cs="Calibri Light"/>
          <w:i/>
          <w:color w:val="000000"/>
        </w:rPr>
        <w:t>internet</w:t>
      </w:r>
      <w:r w:rsidRPr="006874AC">
        <w:rPr>
          <w:rFonts w:ascii="Bookman Old Style" w:hAnsi="Bookman Old Style" w:cs="Calibri Light"/>
          <w:color w:val="000000"/>
        </w:rPr>
        <w:t xml:space="preserve">, contendo formulário específico para o registro de manifestações;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 - telefone 0800;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III - telefone tarifado específico;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IV - serviço de atendimento pessoal;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V - recebimento de manifestações, por meio de correio, fax ou outro meio identificado para esse fim.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1º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manifestação será dirigida à Ouvidoria Parlamentar e conterá a identificação do requerente.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§ 2º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identificação do requerente não conterá exigências que inviabilizem sua manifestação.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§ 3º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São proibidas quaisquer exigências relativas aos motivos determinantes da apresentação de manifestações perante a Ouvidoria.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§ 4º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manifestação poderá ser feita por meio eletrônico, correspondência convencional ou verbalmente, hipótese em que deverá ser reduzida a termo.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§ 5º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No caso de manifestação por meio eletrônico, prevista no § 4º, respeitada a legislação específica de sigilo e proteção de dados, poderá, a Ouvidoria Parlamentar, requerer meio de certificação da identidade do usuário.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§ 6º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Será permitido o recebimento de denúncias que comportem o sigilo do denunciante, devendo ser mantida, sob guarda e segredo do Ouvidor-Geral, as informações recebidas, cabendo, à Câmara, disponibilizar uma sala específica para o atendimento presencial.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§ 7º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Quando do recebimento da demanda, será gerado um número de protocolo a ser enviado para o cidadão para acompanhamento do processo de resposta.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8º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É assegurado ao cidadão a complementação das informações, caso, ao seu juízo, sejam insuficientes.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§ 9º</w:t>
      </w:r>
      <w:r w:rsidR="00ED2349">
        <w:rPr>
          <w:rFonts w:ascii="Bookman Old Style" w:hAnsi="Bookman Old Style" w:cs="Calibri Light"/>
          <w:color w:val="000000"/>
        </w:rPr>
        <w:t>.</w:t>
      </w:r>
      <w:r w:rsidRPr="006874AC">
        <w:rPr>
          <w:rFonts w:ascii="Bookman Old Style" w:hAnsi="Bookman Old Style" w:cs="Calibri Light"/>
          <w:color w:val="000000"/>
        </w:rPr>
        <w:t xml:space="preserve"> A quantidade de manifestações recebidas será controlada pelo Ouvidor-Geral, detalhando-as por elogios, denúncias, solicitações, reclamações e sugestões, sendo elaborado relatório de gestão, anualmente, pela Ouvidoria Parlamentar, para encaminhamento à Presidência e respectiva divulgação, até o dia 15 de janeiro do ano subsequente.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9º. A Ouvidoria Parlamentar receberá e registrará as manifestações anônimas que pela descrição dos fatos forneçam indícios de procedência do fato denunciado.</w:t>
      </w:r>
    </w:p>
    <w:p w:rsidR="00A60D5B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Parágrafo único. Caso não haja indícios de procedência do faro denunciado, o Ouvidor-Geral deverá arquivá-la, fundamentando sua decisão, que será disponibilizada, para acesso público, no canal da Ouvidoria Parlamentar, junto ao </w:t>
      </w:r>
      <w:r w:rsidRPr="006874AC">
        <w:rPr>
          <w:rFonts w:ascii="Bookman Old Style" w:hAnsi="Bookman Old Style" w:cs="Calibri Light"/>
          <w:i/>
          <w:color w:val="000000"/>
        </w:rPr>
        <w:t>site</w:t>
      </w:r>
      <w:r w:rsidR="006874AC">
        <w:rPr>
          <w:rFonts w:ascii="Bookman Old Style" w:hAnsi="Bookman Old Style" w:cs="Calibri Light"/>
          <w:color w:val="000000"/>
        </w:rPr>
        <w:t xml:space="preserve"> da Câmara Municipa</w:t>
      </w:r>
      <w:r w:rsidR="00ED2349">
        <w:rPr>
          <w:rFonts w:ascii="Bookman Old Style" w:hAnsi="Bookman Old Style" w:cs="Calibri Light"/>
          <w:color w:val="000000"/>
        </w:rPr>
        <w:t>.</w:t>
      </w:r>
    </w:p>
    <w:p w:rsidR="00ED2349" w:rsidRPr="006874AC" w:rsidRDefault="00ED2349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Art. 10. A Presidência da Câmara Municipal assegurará autonomia à Ouvidoria Parlamentar, mediante apoio logístico, tecnológico e administrativo e operacional necessários ao desempenho de suas atividades. 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ab/>
        <w:t>Art.</w:t>
      </w:r>
      <w:r w:rsidR="00ED2349">
        <w:rPr>
          <w:rFonts w:ascii="Bookman Old Style" w:hAnsi="Bookman Old Style" w:cs="Calibri Light"/>
          <w:color w:val="000000"/>
        </w:rPr>
        <w:t xml:space="preserve"> </w:t>
      </w:r>
      <w:r w:rsidRPr="006874AC">
        <w:rPr>
          <w:rFonts w:ascii="Bookman Old Style" w:hAnsi="Bookman Old Style" w:cs="Calibri Light"/>
          <w:color w:val="000000"/>
        </w:rPr>
        <w:t>11. A Mesa da Câmara Municipal editará os atos necessários a fiel execução das medidas previstas na presente Resolução, por meio de resolução de mesa</w:t>
      </w:r>
      <w:r w:rsidR="00EC49C1">
        <w:rPr>
          <w:rFonts w:ascii="Bookman Old Style" w:hAnsi="Bookman Old Style" w:cs="Calibri Light"/>
          <w:color w:val="000000"/>
        </w:rPr>
        <w:t xml:space="preserve"> conforme determina o</w:t>
      </w:r>
      <w:r w:rsidRPr="006874AC">
        <w:rPr>
          <w:rFonts w:ascii="Bookman Old Style" w:hAnsi="Bookman Old Style" w:cs="Calibri Light"/>
          <w:color w:val="000000"/>
        </w:rPr>
        <w:t xml:space="preserve"> Regimento Interno.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12. Subsidiariamente ao disposto nesta Resolução, serão observadas: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 – a Lei Federal nº 12.527, de 18 de novembro de 2011;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II – a Lei federal nº 13.460, de 26 de junho de 2017;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III – Regimento </w:t>
      </w:r>
      <w:r w:rsidR="002B08D7" w:rsidRPr="006874AC">
        <w:rPr>
          <w:rFonts w:ascii="Bookman Old Style" w:hAnsi="Bookman Old Style" w:cs="Calibri Light"/>
          <w:color w:val="000000"/>
        </w:rPr>
        <w:t>Interno da Câmara Municipal de Boqueirão do Leão, RS</w:t>
      </w:r>
      <w:r w:rsidRPr="006874AC">
        <w:rPr>
          <w:rFonts w:ascii="Bookman Old Style" w:hAnsi="Bookman Old Style" w:cs="Calibri Light"/>
          <w:color w:val="000000"/>
        </w:rPr>
        <w:t>.</w:t>
      </w: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A60D5B" w:rsidRPr="006874AC" w:rsidRDefault="00A60D5B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>Art. 13. Esta Resolução entra em vigor na data sua publicação.</w:t>
      </w:r>
    </w:p>
    <w:p w:rsidR="006874AC" w:rsidRPr="006874AC" w:rsidRDefault="006874AC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6874AC" w:rsidRPr="006874AC" w:rsidRDefault="006874AC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ab/>
        <w:t xml:space="preserve">CÂMARA MUNICIPAL DE VEREADORES DE </w:t>
      </w:r>
      <w:r w:rsidR="0052793C">
        <w:rPr>
          <w:rFonts w:ascii="Bookman Old Style" w:hAnsi="Bookman Old Style" w:cs="Calibri Light"/>
          <w:color w:val="000000"/>
        </w:rPr>
        <w:t>BOQUEIRÃO DO LEÃO, em 1</w:t>
      </w:r>
      <w:bookmarkStart w:id="0" w:name="_GoBack"/>
      <w:bookmarkEnd w:id="0"/>
      <w:r w:rsidR="00B87584">
        <w:rPr>
          <w:rFonts w:ascii="Bookman Old Style" w:hAnsi="Bookman Old Style" w:cs="Calibri Light"/>
          <w:color w:val="000000"/>
        </w:rPr>
        <w:t>4 de junho</w:t>
      </w:r>
      <w:r w:rsidRPr="006874AC">
        <w:rPr>
          <w:rFonts w:ascii="Bookman Old Style" w:hAnsi="Bookman Old Style" w:cs="Calibri Light"/>
          <w:color w:val="000000"/>
        </w:rPr>
        <w:t xml:space="preserve"> de 2019,</w:t>
      </w:r>
    </w:p>
    <w:p w:rsidR="006874AC" w:rsidRPr="006874AC" w:rsidRDefault="006874AC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6874AC" w:rsidRDefault="006874AC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367D16" w:rsidRDefault="00ED2349" w:rsidP="00ED2349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MESA DIRETORA:</w:t>
      </w:r>
    </w:p>
    <w:p w:rsidR="00ED2349" w:rsidRDefault="00ED2349" w:rsidP="00ED2349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ED2349" w:rsidRDefault="00ED2349" w:rsidP="00ED2349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DE24AA" w:rsidRDefault="00DE24AA" w:rsidP="00ED2349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367D16" w:rsidRPr="006874AC" w:rsidRDefault="00367D16" w:rsidP="00A60D5B">
      <w:pPr>
        <w:tabs>
          <w:tab w:val="left" w:pos="1418"/>
        </w:tabs>
        <w:jc w:val="both"/>
        <w:rPr>
          <w:rFonts w:ascii="Bookman Old Style" w:hAnsi="Bookman Old Style" w:cs="Calibri Light"/>
          <w:color w:val="000000"/>
        </w:rPr>
      </w:pPr>
    </w:p>
    <w:p w:rsidR="006874AC" w:rsidRPr="006874AC" w:rsidRDefault="006874AC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>SILVIO LUIZ SCHMIDT CONTE</w:t>
      </w:r>
    </w:p>
    <w:p w:rsidR="006874AC" w:rsidRDefault="006874AC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 w:rsidRPr="006874AC">
        <w:rPr>
          <w:rFonts w:ascii="Bookman Old Style" w:hAnsi="Bookman Old Style" w:cs="Calibri Light"/>
          <w:color w:val="000000"/>
        </w:rPr>
        <w:t>Presidente</w:t>
      </w:r>
    </w:p>
    <w:p w:rsidR="00ED2349" w:rsidRDefault="00745C2F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2553516</wp:posOffset>
                </wp:positionH>
                <wp:positionV relativeFrom="paragraph">
                  <wp:posOffset>44185</wp:posOffset>
                </wp:positionV>
                <wp:extent cx="952500" cy="275392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07123">
                          <a:off x="0" y="0"/>
                          <a:ext cx="952500" cy="27539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5C2F" w:rsidRPr="00745C2F" w:rsidRDefault="00745C2F" w:rsidP="00745C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5C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Licença saúde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01.05pt;margin-top:3.5pt;width:75pt;height:21.7pt;rotation:-42912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" filled="f" stroked="f">
                <o:lock v:ext="edit" shapetype="t"/>
                <v:textbox>
                  <w:txbxContent>
                    <w:p w:rsidR="00745C2F" w:rsidRPr="00745C2F" w:rsidRDefault="00745C2F" w:rsidP="00745C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45C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Licença saúde</w:t>
                      </w:r>
                    </w:p>
                  </w:txbxContent>
                </v:textbox>
              </v:shape>
            </w:pict>
          </mc:Fallback>
        </mc:AlternateContent>
      </w: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GILMAR GILBERTO GHISLENI</w:t>
      </w: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Vice-Presidente</w:t>
      </w: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LUIZ CLÁUDIO CARLESSO</w:t>
      </w: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1º Secretário</w:t>
      </w: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</w:p>
    <w:p w:rsidR="00ED2349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JOCEMAR BARGON</w:t>
      </w:r>
    </w:p>
    <w:p w:rsidR="00ED2349" w:rsidRPr="006874AC" w:rsidRDefault="00ED2349" w:rsidP="006874AC">
      <w:pPr>
        <w:tabs>
          <w:tab w:val="left" w:pos="1418"/>
        </w:tabs>
        <w:jc w:val="center"/>
        <w:rPr>
          <w:rFonts w:ascii="Bookman Old Style" w:hAnsi="Bookman Old Style" w:cs="Calibri Light"/>
          <w:color w:val="000000"/>
        </w:rPr>
      </w:pPr>
      <w:r>
        <w:rPr>
          <w:rFonts w:ascii="Bookman Old Style" w:hAnsi="Bookman Old Style" w:cs="Calibri Light"/>
          <w:color w:val="000000"/>
        </w:rPr>
        <w:t>2º Secretário</w:t>
      </w:r>
    </w:p>
    <w:p w:rsidR="006A5878" w:rsidRPr="006874AC" w:rsidRDefault="006A5878" w:rsidP="00A60D5B">
      <w:pPr>
        <w:rPr>
          <w:rFonts w:ascii="Bookman Old Style" w:hAnsi="Bookman Old Style"/>
        </w:rPr>
      </w:pPr>
    </w:p>
    <w:sectPr w:rsidR="006A5878" w:rsidRPr="006874AC" w:rsidSect="006874A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8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A" w:rsidRDefault="000E045A" w:rsidP="00E84A41">
      <w:r>
        <w:separator/>
      </w:r>
    </w:p>
  </w:endnote>
  <w:endnote w:type="continuationSeparator" w:id="0">
    <w:p w:rsidR="000E045A" w:rsidRDefault="000E045A" w:rsidP="00E8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54747580"/>
      <w:docPartObj>
        <w:docPartGallery w:val="Page Numbers (Bottom of Page)"/>
        <w:docPartUnique/>
      </w:docPartObj>
    </w:sdtPr>
    <w:sdtEndPr/>
    <w:sdtContent>
      <w:p w:rsidR="00E84A41" w:rsidRPr="00E84A41" w:rsidRDefault="00E84A41">
        <w:pPr>
          <w:pStyle w:val="Rodap"/>
          <w:jc w:val="right"/>
          <w:rPr>
            <w:sz w:val="18"/>
            <w:szCs w:val="18"/>
          </w:rPr>
        </w:pPr>
        <w:r w:rsidRPr="00E84A41">
          <w:rPr>
            <w:sz w:val="18"/>
            <w:szCs w:val="18"/>
          </w:rPr>
          <w:fldChar w:fldCharType="begin"/>
        </w:r>
        <w:r w:rsidRPr="00E84A41">
          <w:rPr>
            <w:sz w:val="18"/>
            <w:szCs w:val="18"/>
          </w:rPr>
          <w:instrText>PAGE   \* MERGEFORMAT</w:instrText>
        </w:r>
        <w:r w:rsidRPr="00E84A41">
          <w:rPr>
            <w:sz w:val="18"/>
            <w:szCs w:val="18"/>
          </w:rPr>
          <w:fldChar w:fldCharType="separate"/>
        </w:r>
        <w:r w:rsidR="000E045A">
          <w:rPr>
            <w:noProof/>
            <w:sz w:val="18"/>
            <w:szCs w:val="18"/>
          </w:rPr>
          <w:t>1</w:t>
        </w:r>
        <w:r w:rsidRPr="00E84A41">
          <w:rPr>
            <w:sz w:val="18"/>
            <w:szCs w:val="18"/>
          </w:rPr>
          <w:fldChar w:fldCharType="end"/>
        </w:r>
      </w:p>
    </w:sdtContent>
  </w:sdt>
  <w:p w:rsidR="00E84A41" w:rsidRDefault="00E84A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A" w:rsidRDefault="000E045A" w:rsidP="00E84A41">
      <w:r>
        <w:separator/>
      </w:r>
    </w:p>
  </w:footnote>
  <w:footnote w:type="continuationSeparator" w:id="0">
    <w:p w:rsidR="000E045A" w:rsidRDefault="000E045A" w:rsidP="00E8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41" w:rsidRDefault="000E04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052" o:spid="_x0000_s2050" type="#_x0000_t136" style="position:absolute;margin-left:0;margin-top:0;width:470.95pt;height:128.4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Calibri&quot;;font-size:1pt" string="Modelo IG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41" w:rsidRPr="00E84A41" w:rsidRDefault="000E045A" w:rsidP="00E84A41">
    <w:pPr>
      <w:pStyle w:val="Cabealho"/>
      <w:jc w:val="center"/>
      <w:rPr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053" o:spid="_x0000_s2051" type="#_x0000_t136" style="position:absolute;left:0;text-align:left;margin-left:0;margin-top:0;width:470.95pt;height:128.4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Calibri&quot;;font-size:1pt" string="Modelo IG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41" w:rsidRDefault="000E04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051" o:spid="_x0000_s2049" type="#_x0000_t136" style="position:absolute;margin-left:0;margin-top:0;width:470.95pt;height:128.45pt;rotation:315;z-index:-251657216;mso-position-horizontal:center;mso-position-horizontal-relative:margin;mso-position-vertical:center;mso-position-vertical-relative:margin" o:allowincell="f" fillcolor="#deeaf6 [660]" stroked="f">
          <v:fill opacity=".5"/>
          <v:textpath style="font-family:&quot;Calibri&quot;;font-size:1pt" string="Modelo IGA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41"/>
    <w:rsid w:val="00047A79"/>
    <w:rsid w:val="000E045A"/>
    <w:rsid w:val="001226B8"/>
    <w:rsid w:val="002B08D7"/>
    <w:rsid w:val="0034745A"/>
    <w:rsid w:val="00367D16"/>
    <w:rsid w:val="0052793C"/>
    <w:rsid w:val="006874AC"/>
    <w:rsid w:val="006973F0"/>
    <w:rsid w:val="006A5878"/>
    <w:rsid w:val="007313DD"/>
    <w:rsid w:val="00745C2F"/>
    <w:rsid w:val="00897346"/>
    <w:rsid w:val="00A40A08"/>
    <w:rsid w:val="00A60D5B"/>
    <w:rsid w:val="00AA2F4B"/>
    <w:rsid w:val="00B50BA9"/>
    <w:rsid w:val="00B87584"/>
    <w:rsid w:val="00C11D0A"/>
    <w:rsid w:val="00C90E94"/>
    <w:rsid w:val="00D04968"/>
    <w:rsid w:val="00DE24AA"/>
    <w:rsid w:val="00E84A41"/>
    <w:rsid w:val="00EC49C1"/>
    <w:rsid w:val="00ED2349"/>
    <w:rsid w:val="00F001FC"/>
    <w:rsid w:val="00F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4FFB22B-F6F2-472F-B645-2038475C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4A41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4A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A41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5C2F"/>
    <w:pPr>
      <w:spacing w:before="100" w:beforeAutospacing="1" w:after="100" w:afterAutospacing="1"/>
    </w:pPr>
    <w:rPr>
      <w:rFonts w:ascii="Times New Roman" w:eastAsiaTheme="minorEastAsia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C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C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2018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Roberta Neitzke Rodrigues</dc:creator>
  <cp:keywords/>
  <dc:description/>
  <cp:lastModifiedBy>computador</cp:lastModifiedBy>
  <cp:revision>11</cp:revision>
  <cp:lastPrinted>2019-06-14T18:07:00Z</cp:lastPrinted>
  <dcterms:created xsi:type="dcterms:W3CDTF">2019-05-27T12:22:00Z</dcterms:created>
  <dcterms:modified xsi:type="dcterms:W3CDTF">2019-06-14T18:09:00Z</dcterms:modified>
</cp:coreProperties>
</file>